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Referat Blåvandshuk Udviklingsråd 8.feb.2023: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1: Årsmøde med temaet bosætning: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 xml:space="preserve">Dato: Efter påske: uge 15-16-17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Emne: Boformer / livscyklus - “fastholde borgere i området et helt liv” ??? (skal arbejdes med)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Sted: Danhostel, Oksbøl, kl.18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Med tilmelding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Mad og drikke, som UR betaler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Inviterer Leif fra Samuelsgården - Anders ringer til ham, når dato er på plads.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Velkomst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Årsmøde, herunder oplæg af Leif fra Samuelsgården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Middag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Oplæg om: Boformer / livscyklus - “fastholde borgere i området et helt liv” 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Farvel og tak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Emner: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Boformer / livscyklus - “fastholde borgere i området et helt liv”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Almen bosætning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Alternative boformer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Midlertidig arbejdskraft - flytbare hjem/by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Næste UR møde: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Torsdag d.2.marts kl.19.30 - Blåvand, borgerhuset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